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Arial" w:hAnsi="Arial" w:cs="Arial"/>
        </w:rPr>
      </w:pPr>
      <w:r>
        <w:rPr>
          <w:rFonts w:cs="Arial" w:ascii="Arial" w:hAnsi="Arial"/>
        </w:rPr>
        <w:drawing>
          <wp:anchor behindDoc="0" distT="0" distB="0" distL="0" distR="0" simplePos="0" locked="0" layoutInCell="0" allowOverlap="1" relativeHeight="2">
            <wp:simplePos x="0" y="0"/>
            <wp:positionH relativeFrom="column">
              <wp:posOffset>4445</wp:posOffset>
            </wp:positionH>
            <wp:positionV relativeFrom="paragraph">
              <wp:posOffset>-386080</wp:posOffset>
            </wp:positionV>
            <wp:extent cx="6113780" cy="124523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55" t="-269" r="-55" b="-269"/>
                    <a:stretch>
                      <a:fillRect/>
                    </a:stretch>
                  </pic:blipFill>
                  <pic:spPr bwMode="auto">
                    <a:xfrm>
                      <a:off x="0" y="0"/>
                      <a:ext cx="6113780" cy="1245235"/>
                    </a:xfrm>
                    <a:prstGeom prst="rect">
                      <a:avLst/>
                    </a:prstGeom>
                  </pic:spPr>
                </pic:pic>
              </a:graphicData>
            </a:graphic>
          </wp:anchor>
        </w:drawing>
      </w:r>
    </w:p>
    <w:p>
      <w:pPr>
        <w:pStyle w:val="Heading2"/>
        <w:numPr>
          <w:ilvl w:val="1"/>
          <w:numId w:val="1"/>
        </w:numPr>
        <w:rPr>
          <w:rFonts w:ascii="Arial" w:hAnsi="Arial" w:cs="Arial"/>
          <w:b/>
          <w:sz w:val="28"/>
          <w:szCs w:val="28"/>
        </w:rPr>
      </w:pPr>
      <w:r>
        <w:rPr>
          <w:rFonts w:cs="Arial" w:ascii="Arial" w:hAnsi="Arial"/>
          <w:b/>
          <w:sz w:val="28"/>
          <w:szCs w:val="28"/>
        </w:rPr>
        <w:t xml:space="preserve">Ausschreibung </w:t>
      </w:r>
    </w:p>
    <w:p>
      <w:pPr>
        <w:pStyle w:val="Heading2"/>
        <w:numPr>
          <w:ilvl w:val="1"/>
          <w:numId w:val="1"/>
        </w:numPr>
        <w:ind w:hanging="576" w:left="0" w:right="0"/>
        <w:rPr/>
      </w:pPr>
      <w:r>
        <w:rPr>
          <w:rFonts w:eastAsia="Arial" w:cs="Arial" w:ascii="Arial" w:hAnsi="Arial"/>
          <w:sz w:val="28"/>
          <w:szCs w:val="28"/>
        </w:rPr>
        <w:t xml:space="preserve">        </w:t>
      </w:r>
      <w:r>
        <w:rPr>
          <w:rFonts w:cs="Arial" w:ascii="Arial" w:hAnsi="Arial"/>
          <w:b/>
          <w:sz w:val="28"/>
          <w:szCs w:val="28"/>
        </w:rPr>
        <w:t xml:space="preserve">Ort: </w:t>
      </w:r>
      <w:r>
        <w:rPr>
          <w:rFonts w:cs="Arial" w:ascii="Arial" w:hAnsi="Arial"/>
          <w:b/>
          <w:color w:val="3366FF"/>
          <w:sz w:val="28"/>
          <w:szCs w:val="28"/>
        </w:rPr>
        <w:t>CLUBNAME</w:t>
      </w:r>
      <w:r>
        <w:rPr>
          <w:rFonts w:cs="Arial" w:ascii="Arial" w:hAnsi="Arial"/>
          <w:b/>
          <w:sz w:val="28"/>
          <w:szCs w:val="28"/>
        </w:rPr>
        <w:t xml:space="preserve">                          Datum: </w:t>
      </w:r>
      <w:r>
        <w:rPr>
          <w:rFonts w:eastAsia="Times New Roman" w:cs="Arial" w:ascii="Arial" w:hAnsi="Arial"/>
          <w:b/>
          <w:color w:val="3366FF"/>
          <w:sz w:val="28"/>
          <w:szCs w:val="28"/>
          <w:lang w:val="de-DE" w:eastAsia="zh-CN" w:bidi="ar-SA"/>
        </w:rPr>
        <w:t>TURNIERDATUM</w:t>
      </w:r>
    </w:p>
    <w:p>
      <w:pPr>
        <w:pStyle w:val="BodyText"/>
        <w:ind w:hanging="0" w:left="0" w:right="0"/>
        <w:rPr>
          <w:rFonts w:cs="Arial"/>
          <w:b/>
          <w:color w:val="3366FF"/>
          <w:sz w:val="28"/>
          <w:szCs w:val="28"/>
        </w:rPr>
      </w:pPr>
      <w:r>
        <w:rPr>
          <w:rFonts w:cs="Arial"/>
          <w:b/>
          <w:color w:val="3366FF"/>
          <w:sz w:val="28"/>
          <w:szCs w:val="28"/>
        </w:rPr>
      </w:r>
    </w:p>
    <w:p>
      <w:pPr>
        <w:pStyle w:val="BodyText"/>
        <w:widowControl w:val="false"/>
        <w:suppressAutoHyphens w:val="false"/>
        <w:bidi w:val="0"/>
        <w:spacing w:before="0" w:after="176"/>
        <w:ind w:hanging="2268" w:left="2268" w:right="0"/>
        <w:rPr/>
      </w:pPr>
      <w:r>
        <w:rPr>
          <w:b/>
          <w:bCs/>
        </w:rPr>
        <w:t>Teilnahmeberechtigt:</w:t>
        <w:tab/>
      </w:r>
      <w:r>
        <w:rPr/>
        <w:t xml:space="preserve">Sind die vom jeweiligen GSL-Captain der Partnerclubs genannten Spieler mit einer                                                           Stammvorgabe von max. 36 sowie Gastspieler, die Mitglieder des ÖGV oder eines ausländischen Verbandes sind mit einer Stammvorgabe von </w:t>
      </w:r>
      <w:r>
        <w:rPr>
          <w:rFonts w:eastAsia="Times New Roman" w:cs="Arial"/>
          <w:color w:val="auto"/>
          <w:sz w:val="20"/>
          <w:szCs w:val="20"/>
          <w:lang w:val="de-DE" w:eastAsia="zh-CN" w:bidi="ar-SA"/>
        </w:rPr>
        <w:t>max. 36</w:t>
      </w:r>
      <w:r>
        <w:rPr/>
        <w:t xml:space="preserve">  nach Verfügbarkeit freier Plätze. Maximale Teilnehmerzahl </w:t>
      </w:r>
      <w:r>
        <w:rPr>
          <w:b/>
          <w:bCs/>
          <w:color w:val="0000FF"/>
        </w:rPr>
        <w:t>12</w:t>
      </w:r>
      <w:r>
        <w:rPr>
          <w:rFonts w:eastAsia="Times New Roman" w:cs="Arial"/>
          <w:b/>
          <w:bCs/>
          <w:color w:val="0000FF"/>
          <w:sz w:val="20"/>
          <w:szCs w:val="20"/>
          <w:lang w:val="de-DE" w:eastAsia="zh-CN" w:bidi="ar-SA"/>
        </w:rPr>
        <w:t>0</w:t>
      </w:r>
      <w:r>
        <w:rPr>
          <w:b/>
          <w:bCs/>
          <w:color w:val="0000FF"/>
        </w:rPr>
        <w:t xml:space="preserve"> </w:t>
      </w:r>
      <w:r>
        <w:rPr/>
        <w:t>Golfer.</w:t>
      </w:r>
    </w:p>
    <w:p>
      <w:pPr>
        <w:pStyle w:val="BodyText"/>
        <w:widowControl w:val="false"/>
        <w:suppressAutoHyphens w:val="false"/>
        <w:bidi w:val="0"/>
        <w:spacing w:before="0" w:after="176"/>
        <w:ind w:hanging="2268" w:left="2268" w:right="0"/>
        <w:jc w:val="both"/>
        <w:rPr/>
      </w:pPr>
      <w:r>
        <w:rPr>
          <w:b/>
          <w:bCs/>
        </w:rPr>
        <w:t>Austragung:</w:t>
        <w:tab/>
      </w:r>
      <w:r>
        <w:rPr>
          <w:rFonts w:eastAsia="Arial"/>
        </w:rPr>
        <w:t xml:space="preserve">Vorgabewirksames Zählspiel nach Stableford über 18 Löcher mit voller Vorgabe. Gespielt wird nach den offiziellen Golfregeln (einschließlich Amateurstatut) des R&amp;A Rules Limited, den ÖGV -Vorgaben- und Spielbestimmungen, den aktuellen ÖGV - Wettspielempfehlungen (Jahrbuch) sowie den Platzregeln des </w:t>
      </w:r>
      <w:r>
        <w:rPr>
          <w:rFonts w:eastAsia="Arial" w:cs="Arial"/>
          <w:bCs/>
          <w:color w:val="0000FF"/>
          <w:sz w:val="20"/>
          <w:szCs w:val="20"/>
          <w:lang w:val="de-DE" w:eastAsia="zh-CN" w:bidi="ar-SA"/>
        </w:rPr>
        <w:t>CLUBNAME</w:t>
      </w:r>
      <w:r>
        <w:rPr>
          <w:rFonts w:eastAsia="Arial"/>
          <w:bCs/>
          <w:color w:val="0084D1"/>
        </w:rPr>
        <w:t>.</w:t>
      </w:r>
    </w:p>
    <w:p>
      <w:pPr>
        <w:pStyle w:val="Normal"/>
        <w:widowControl w:val="false"/>
        <w:suppressAutoHyphens w:val="true"/>
        <w:bidi w:val="0"/>
        <w:spacing w:before="0" w:after="170"/>
        <w:ind w:hanging="2268" w:left="2268" w:right="0"/>
        <w:rPr/>
      </w:pPr>
      <w:r>
        <w:rPr>
          <w:rFonts w:eastAsia="Arial" w:cs="Arial" w:ascii="Arial" w:hAnsi="Arial"/>
          <w:b/>
          <w:bCs/>
        </w:rPr>
        <w:t>Abschläge:</w:t>
        <w:tab/>
      </w:r>
      <w:r>
        <w:rPr>
          <w:rFonts w:eastAsia="Arial" w:cs="Arial" w:ascii="Arial" w:hAnsi="Arial"/>
          <w:bCs/>
        </w:rPr>
        <w:t xml:space="preserve">Herren: Gelb </w:t>
      </w:r>
      <w:r>
        <w:rPr>
          <w:rFonts w:eastAsia="Arial" w:cs="Arial" w:ascii="Arial" w:hAnsi="Arial"/>
          <w:bCs/>
          <w:color w:val="0000FF"/>
        </w:rPr>
        <w:t>[,Blau]</w:t>
      </w:r>
    </w:p>
    <w:p>
      <w:pPr>
        <w:pStyle w:val="Normal"/>
        <w:spacing w:before="0" w:after="170"/>
        <w:ind w:hanging="2253" w:left="2268" w:right="0"/>
        <w:rPr/>
      </w:pPr>
      <w:r>
        <w:rPr>
          <w:rFonts w:eastAsia="Arial" w:cs="Arial" w:ascii="Arial" w:hAnsi="Arial"/>
          <w:b/>
          <w:bCs/>
        </w:rPr>
        <w:t>Start:</w:t>
        <w:tab/>
      </w:r>
      <w:r>
        <w:rPr>
          <w:rFonts w:cs="Arial" w:ascii="Arial" w:hAnsi="Arial"/>
          <w:color w:val="000000"/>
        </w:rPr>
        <w:t xml:space="preserve">Start von Tee 1 und Tee 10 / </w:t>
      </w:r>
      <w:r>
        <w:rPr>
          <w:rFonts w:eastAsia="Arial" w:cs="Arial" w:ascii="Arial" w:hAnsi="Arial"/>
          <w:color w:val="000000"/>
        </w:rPr>
        <w:t>ab 10:00 Uhr; Startlisten ab Montag,</w:t>
      </w:r>
      <w:r>
        <w:rPr>
          <w:rFonts w:eastAsia="Arial" w:cs="Arial" w:ascii="Arial" w:hAnsi="Arial"/>
          <w:bCs/>
          <w:color w:val="0000FF"/>
          <w:sz w:val="20"/>
          <w:szCs w:val="20"/>
          <w:lang w:val="de-DE" w:eastAsia="zh-CN" w:bidi="ar-SA"/>
        </w:rPr>
        <w:t>DATUM</w:t>
      </w:r>
      <w:r>
        <w:rPr>
          <w:rFonts w:eastAsia="Arial" w:cs="Arial" w:ascii="Arial" w:hAnsi="Arial"/>
          <w:color w:val="000000"/>
        </w:rPr>
        <w:t xml:space="preserve">,12 Uhr unter </w:t>
      </w:r>
      <w:hyperlink r:id="rId3">
        <w:r>
          <w:rPr>
            <w:rStyle w:val="Hyperlink"/>
            <w:rFonts w:eastAsia="Arial" w:cs="Arial" w:ascii="Arial" w:hAnsi="Arial"/>
            <w:color w:val="000000"/>
          </w:rPr>
          <w:t>www.gsl-noe.at/gsl_startzeit.php</w:t>
        </w:r>
      </w:hyperlink>
      <w:r>
        <w:rPr>
          <w:rFonts w:eastAsia="Arial" w:cs="Arial" w:ascii="Arial" w:hAnsi="Arial"/>
          <w:color w:val="000000"/>
        </w:rPr>
        <w:t xml:space="preserve"> oder www.golf.at/clubs/clubdetail.asp?clubnr=</w:t>
      </w:r>
      <w:r>
        <w:rPr>
          <w:rFonts w:eastAsia="Arial" w:cs="Arial" w:ascii="Arial" w:hAnsi="Arial"/>
          <w:b/>
          <w:bCs/>
          <w:color w:val="3366FF"/>
          <w:sz w:val="20"/>
          <w:szCs w:val="20"/>
          <w:lang w:val="de-DE" w:eastAsia="zh-CN" w:bidi="ar-SA"/>
        </w:rPr>
        <w:t>xxx</w:t>
      </w:r>
      <w:r>
        <w:rPr>
          <w:rFonts w:eastAsia="Arial" w:cs="Arial" w:ascii="Arial" w:hAnsi="Arial"/>
          <w:color w:val="000000"/>
        </w:rPr>
        <w:t xml:space="preserve"> </w:t>
      </w:r>
    </w:p>
    <w:p>
      <w:pPr>
        <w:pStyle w:val="Normal"/>
        <w:spacing w:before="0" w:after="170"/>
        <w:ind w:hanging="2253" w:left="2268" w:right="0"/>
        <w:rPr/>
      </w:pPr>
      <w:r>
        <w:rPr>
          <w:rFonts w:eastAsia="Arial" w:cs="Arial" w:ascii="Arial" w:hAnsi="Arial"/>
          <w:b/>
          <w:color w:val="000000"/>
        </w:rPr>
        <w:t>Nennungen:</w:t>
        <w:tab/>
      </w:r>
      <w:r>
        <w:rPr>
          <w:rFonts w:eastAsia="Arial" w:cs="Arial" w:ascii="Arial" w:hAnsi="Arial"/>
          <w:color w:val="000000"/>
        </w:rPr>
        <w:t xml:space="preserve">Erfolgen ausschließlich über </w:t>
      </w:r>
      <w:hyperlink r:id="rId4">
        <w:r>
          <w:rPr>
            <w:rStyle w:val="Hyperlink"/>
            <w:rFonts w:eastAsia="Arial" w:cs="Arial" w:ascii="Arial" w:hAnsi="Arial"/>
          </w:rPr>
          <w:t>www.gsl-noe.at</w:t>
        </w:r>
      </w:hyperlink>
      <w:r>
        <w:rPr>
          <w:rFonts w:eastAsia="Arial" w:cs="Arial" w:ascii="Arial" w:hAnsi="Arial"/>
          <w:color w:val="000000"/>
        </w:rPr>
        <w:t xml:space="preserve"> durch den jeweiligen Seniorencaptain.</w:t>
      </w:r>
    </w:p>
    <w:p>
      <w:pPr>
        <w:pStyle w:val="BodyText"/>
        <w:widowControl w:val="false"/>
        <w:suppressAutoHyphens w:val="false"/>
        <w:bidi w:val="0"/>
        <w:spacing w:before="0" w:after="176"/>
        <w:ind w:hanging="2268" w:left="2268" w:right="0"/>
        <w:rPr/>
      </w:pPr>
      <w:r>
        <w:rPr>
          <w:rFonts w:eastAsia="Arial"/>
          <w:b/>
          <w:bCs/>
        </w:rPr>
        <w:t>Nennschluss:</w:t>
        <w:tab/>
      </w:r>
      <w:r>
        <w:rPr>
          <w:rFonts w:eastAsia="Times New Roman" w:cs="Arial"/>
          <w:b/>
          <w:bCs/>
          <w:color w:val="3366FF"/>
          <w:sz w:val="20"/>
          <w:szCs w:val="20"/>
          <w:lang w:val="de-DE" w:eastAsia="zh-CN" w:bidi="ar-SA"/>
        </w:rPr>
        <w:t>Samstag, DATUM 15 Uhr</w:t>
      </w:r>
    </w:p>
    <w:p>
      <w:pPr>
        <w:pStyle w:val="BodyText"/>
        <w:widowControl w:val="false"/>
        <w:suppressAutoHyphens w:val="false"/>
        <w:bidi w:val="0"/>
        <w:spacing w:before="0" w:after="176"/>
        <w:ind w:hanging="2268" w:left="2268" w:right="0"/>
        <w:contextualSpacing/>
        <w:rPr/>
      </w:pPr>
      <w:r>
        <w:rPr>
          <w:rFonts w:eastAsia="Arial"/>
          <w:b/>
          <w:bCs/>
        </w:rPr>
        <w:t>Nenngeld:</w:t>
        <w:tab/>
      </w:r>
      <w:r>
        <w:rPr>
          <w:rFonts w:eastAsia="Arial"/>
          <w:bCs/>
        </w:rPr>
        <w:t xml:space="preserve">€ </w:t>
      </w:r>
      <w:r>
        <w:rPr>
          <w:rFonts w:eastAsia="Times New Roman" w:cs="Arial"/>
          <w:b/>
          <w:bCs/>
          <w:color w:val="3366FF"/>
          <w:sz w:val="20"/>
          <w:szCs w:val="20"/>
          <w:lang w:val="de-DE" w:eastAsia="zh-CN" w:bidi="ar-SA"/>
        </w:rPr>
        <w:t>25</w:t>
      </w:r>
      <w:r>
        <w:rPr>
          <w:rFonts w:eastAsia="Arial"/>
          <w:bCs/>
          <w:color w:val="0084D1"/>
        </w:rPr>
        <w:t>.</w:t>
      </w:r>
      <w:r>
        <w:rPr>
          <w:rFonts w:eastAsia="Arial"/>
          <w:bCs/>
          <w:color w:val="CE181E"/>
        </w:rPr>
        <w:t>-</w:t>
      </w:r>
      <w:r>
        <w:rPr>
          <w:rFonts w:eastAsia="Arial"/>
          <w:bCs/>
        </w:rPr>
        <w:t xml:space="preserve">  für Mitglieder des </w:t>
      </w:r>
      <w:r>
        <w:rPr>
          <w:rFonts w:eastAsia="Times New Roman" w:cs="Arial"/>
          <w:b/>
          <w:bCs/>
          <w:color w:val="3366FF"/>
          <w:sz w:val="20"/>
          <w:szCs w:val="20"/>
          <w:lang w:val="de-DE" w:eastAsia="zh-CN" w:bidi="ar-SA"/>
        </w:rPr>
        <w:t>CLUBNAME</w:t>
      </w:r>
    </w:p>
    <w:p>
      <w:pPr>
        <w:pStyle w:val="BodyText"/>
        <w:spacing w:before="0" w:after="176"/>
        <w:ind w:hanging="2268" w:left="2268" w:right="0"/>
        <w:contextualSpacing/>
        <w:rPr/>
      </w:pPr>
      <w:r>
        <w:rPr>
          <w:rFonts w:eastAsia="Arial"/>
          <w:bCs/>
        </w:rPr>
        <w:tab/>
        <w:t xml:space="preserve">€ </w:t>
      </w:r>
      <w:r>
        <w:rPr>
          <w:rFonts w:eastAsia="Times New Roman" w:cs="Arial"/>
          <w:b/>
          <w:bCs/>
          <w:color w:val="3366FF"/>
          <w:sz w:val="20"/>
          <w:szCs w:val="20"/>
          <w:lang w:val="de-DE" w:eastAsia="zh-CN" w:bidi="ar-SA"/>
        </w:rPr>
        <w:t>5</w:t>
      </w:r>
      <w:r>
        <w:rPr>
          <w:rFonts w:eastAsia="Times New Roman" w:cs="Arial"/>
          <w:b/>
          <w:bCs/>
          <w:color w:val="3366FF"/>
          <w:sz w:val="20"/>
          <w:szCs w:val="20"/>
          <w:lang w:val="de-DE" w:eastAsia="zh-CN" w:bidi="ar-SA"/>
        </w:rPr>
        <w:t>5</w:t>
      </w:r>
      <w:r>
        <w:rPr>
          <w:rFonts w:eastAsia="Arial"/>
          <w:bCs/>
        </w:rPr>
        <w:t>.-  für Golfer mit gültiger GSL-Seniorenmarke</w:t>
      </w:r>
    </w:p>
    <w:p>
      <w:pPr>
        <w:pStyle w:val="BodyText"/>
        <w:spacing w:before="0" w:after="176"/>
        <w:ind w:hanging="2268" w:left="2268" w:right="0"/>
        <w:contextualSpacing/>
        <w:rPr>
          <w:rFonts w:eastAsia="Arial"/>
          <w:bCs/>
        </w:rPr>
      </w:pPr>
      <w:r>
        <w:rPr>
          <w:rFonts w:eastAsia="Arial"/>
          <w:bCs/>
        </w:rPr>
        <w:tab/>
        <w:t>€ 7</w:t>
      </w:r>
      <w:r>
        <w:rPr>
          <w:rFonts w:eastAsia="Arial"/>
          <w:b/>
          <w:bCs/>
          <w:color w:val="3366FF"/>
        </w:rPr>
        <w:t>0</w:t>
      </w:r>
      <w:r>
        <w:rPr>
          <w:rFonts w:eastAsia="Arial"/>
          <w:bCs/>
        </w:rPr>
        <w:t xml:space="preserve">.-  für Gastspieler </w:t>
      </w:r>
    </w:p>
    <w:p>
      <w:pPr>
        <w:pStyle w:val="BodyText"/>
        <w:spacing w:before="0" w:after="176"/>
        <w:ind w:hanging="2268" w:left="2268" w:right="0"/>
        <w:contextualSpacing/>
        <w:rPr>
          <w:rFonts w:eastAsia="Arial"/>
          <w:bCs/>
        </w:rPr>
      </w:pPr>
      <w:r>
        <w:rPr>
          <w:rFonts w:eastAsia="Arial"/>
          <w:bCs/>
        </w:rPr>
        <w:tab/>
        <w:t>Turnierfee inkl. Essen (ohne Getränke)</w:t>
      </w:r>
    </w:p>
    <w:p>
      <w:pPr>
        <w:pStyle w:val="BodyText"/>
        <w:spacing w:before="0" w:after="176"/>
        <w:ind w:hanging="2268" w:left="2268" w:right="0"/>
        <w:contextualSpacing/>
        <w:rPr/>
      </w:pPr>
      <w:r>
        <w:rPr/>
      </w:r>
    </w:p>
    <w:p>
      <w:pPr>
        <w:pStyle w:val="BodyText"/>
        <w:widowControl w:val="false"/>
        <w:suppressAutoHyphens w:val="false"/>
        <w:bidi w:val="0"/>
        <w:spacing w:before="0" w:after="176"/>
        <w:ind w:hanging="2268" w:left="2268" w:right="0"/>
        <w:contextualSpacing/>
        <w:rPr/>
      </w:pPr>
      <w:r>
        <w:rPr>
          <w:rFonts w:eastAsia="Arial"/>
          <w:b/>
          <w:bCs/>
        </w:rPr>
        <w:t>Zahlungsmodalitäten:</w:t>
        <w:tab/>
      </w:r>
      <w:r>
        <w:rPr>
          <w:rFonts w:eastAsia="Arial"/>
          <w:b/>
          <w:bCs/>
          <w:color w:val="FF0000"/>
        </w:rPr>
        <w:t>Bezahlung des Nenngeldes ist nur in bar möglich!!</w:t>
        <w:br/>
      </w:r>
      <w:r>
        <w:rPr>
          <w:rFonts w:eastAsia="Arial"/>
          <w:bCs/>
        </w:rPr>
        <w:t xml:space="preserve">Abmeldung im </w:t>
      </w:r>
      <w:r>
        <w:rPr>
          <w:rFonts w:eastAsia="Times New Roman" w:cs="Arial"/>
          <w:b/>
          <w:bCs/>
          <w:color w:val="3366FF"/>
          <w:sz w:val="20"/>
          <w:szCs w:val="20"/>
          <w:lang w:val="de-DE" w:eastAsia="zh-CN" w:bidi="ar-SA"/>
        </w:rPr>
        <w:t>CLUBNAME</w:t>
      </w:r>
      <w:r>
        <w:rPr>
          <w:rFonts w:eastAsia="Arial"/>
          <w:bCs/>
        </w:rPr>
        <w:t xml:space="preserve"> am Tag vor dem Turnier, bis spätestens 10 Uhr! Bei späterer Abmeldung oder Nichterscheinen wird ein Stornobeitrag von € 25.- in Rechnung gestellt.</w:t>
      </w:r>
    </w:p>
    <w:p>
      <w:pPr>
        <w:pStyle w:val="BodyText"/>
        <w:widowControl w:val="false"/>
        <w:suppressAutoHyphens w:val="false"/>
        <w:bidi w:val="0"/>
        <w:spacing w:before="0" w:after="176"/>
        <w:ind w:hanging="2268" w:left="2268" w:right="0"/>
        <w:contextualSpacing/>
        <w:rPr/>
      </w:pPr>
      <w:r>
        <w:rPr/>
      </w:r>
    </w:p>
    <w:p>
      <w:pPr>
        <w:pStyle w:val="BodyText"/>
        <w:widowControl w:val="false"/>
        <w:suppressAutoHyphens w:val="false"/>
        <w:bidi w:val="0"/>
        <w:spacing w:before="0" w:after="176"/>
        <w:ind w:hanging="2268" w:left="2268" w:right="0"/>
        <w:contextualSpacing/>
        <w:rPr/>
      </w:pPr>
      <w:r>
        <w:rPr>
          <w:rFonts w:eastAsia="Arial"/>
          <w:b/>
          <w:bCs/>
        </w:rPr>
        <w:t>Wertung und Preise:</w:t>
        <w:tab/>
      </w:r>
      <w:r>
        <w:rPr>
          <w:rFonts w:eastAsia="Arial"/>
        </w:rPr>
        <w:t xml:space="preserve">Brutto 1. Platz </w:t>
      </w:r>
      <w:r>
        <w:rPr>
          <w:rFonts w:eastAsia="Arial"/>
          <w:color w:val="0000FF"/>
        </w:rPr>
        <w:t>(</w:t>
      </w:r>
      <w:r>
        <w:rPr>
          <w:rFonts w:eastAsia="Arial" w:cs="Arial"/>
          <w:color w:val="auto"/>
          <w:sz w:val="20"/>
          <w:szCs w:val="20"/>
          <w:lang w:val="de-DE" w:eastAsia="zh-CN" w:bidi="ar-SA"/>
        </w:rPr>
        <w:t>Wertung nur für Golfer vom gelben Abschlag)</w:t>
      </w:r>
      <w:r>
        <w:rPr>
          <w:rFonts w:eastAsia="Arial"/>
        </w:rPr>
        <w:t xml:space="preserve">, Netto (Einteilung in drei etwa gleich große Gruppen) 1., 2. und 3. Platz je Gruppe. Bei gleichen Ergebnissen entscheiden die besseren 9 Löcher gem. Vorgabenverteilung (1,18,3,16,5,14,7,12,9). Bei weiterer Gleichheit zählen die 6 Löcher mit dem Schwierigkeitsgrad 1,18,3,16,5,14, danach 1,18,3 und schließlich das schwerste Loch. Bei abermaliger Gleichheit entscheidet das Los. </w:t>
      </w:r>
    </w:p>
    <w:p>
      <w:pPr>
        <w:pStyle w:val="BodyText"/>
        <w:widowControl w:val="false"/>
        <w:suppressAutoHyphens w:val="false"/>
        <w:bidi w:val="0"/>
        <w:spacing w:before="0" w:after="176"/>
        <w:ind w:hanging="2268" w:left="2268" w:right="0"/>
        <w:contextualSpacing/>
        <w:rPr>
          <w:rFonts w:eastAsia="Arial"/>
        </w:rPr>
      </w:pPr>
      <w:r>
        <w:rPr>
          <w:rFonts w:eastAsia="Arial"/>
        </w:rPr>
      </w:r>
    </w:p>
    <w:p>
      <w:pPr>
        <w:pStyle w:val="BodyText"/>
        <w:widowControl w:val="false"/>
        <w:suppressAutoHyphens w:val="false"/>
        <w:bidi w:val="0"/>
        <w:spacing w:before="0" w:after="176"/>
        <w:ind w:hanging="2268" w:left="2268" w:right="0"/>
        <w:contextualSpacing/>
        <w:rPr/>
      </w:pPr>
      <w:r>
        <w:rPr>
          <w:rFonts w:eastAsia="Arial"/>
          <w:b/>
          <w:bCs/>
        </w:rPr>
        <w:t>Fotorechte:</w:t>
        <w:tab/>
      </w:r>
      <w:r>
        <w:rPr>
          <w:rFonts w:eastAsia="Arial"/>
          <w:bCs/>
        </w:rPr>
        <w:t xml:space="preserve">Jeder Teilnehmer stimmt mit der Anmeldung zu, dass die Fotos, welche während des Turniers gemacht werden für interne Zwecke (Website, Sponsoren etc.) genutzt werden dürfen. </w:t>
      </w:r>
    </w:p>
    <w:p>
      <w:pPr>
        <w:pStyle w:val="BodyText"/>
        <w:spacing w:before="0" w:after="176"/>
        <w:ind w:hanging="539" w:left="539" w:right="0"/>
        <w:contextualSpacing/>
        <w:rPr>
          <w:rFonts w:eastAsia="Arial"/>
        </w:rPr>
      </w:pPr>
      <w:r>
        <w:rPr>
          <w:rFonts w:eastAsia="Arial"/>
        </w:rPr>
      </w:r>
    </w:p>
    <w:p>
      <w:pPr>
        <w:pStyle w:val="BodyText"/>
        <w:widowControl w:val="false"/>
        <w:suppressAutoHyphens w:val="false"/>
        <w:bidi w:val="0"/>
        <w:spacing w:before="0" w:after="176"/>
        <w:ind w:hanging="2268" w:left="2268" w:right="0"/>
        <w:contextualSpacing/>
        <w:rPr/>
      </w:pPr>
      <w:r>
        <w:rPr>
          <w:rFonts w:eastAsia="Arial"/>
          <w:b/>
        </w:rPr>
        <w:t>Elektronische Geräte:</w:t>
        <w:tab/>
      </w:r>
      <w:r>
        <w:rPr>
          <w:rFonts w:eastAsia="Arial"/>
        </w:rPr>
        <w:t>Im Wettspiel ist die Verwendung von Entfernungsmessgeräten Spielern während des Spielens ihrer Runde gestattet. Ein Multi-Funktionsgerät wie Smart Phone oder PDA darf verwendet werden. Diese Geräte dürfen nicht für irgendwelche Zwecke verwendet werden, die nach Regel 4.3 verboten sind. Strafe für ersten Verstoß Grundstrafe, bei einem weiteren Verstoß Disqualifikation.</w:t>
      </w:r>
    </w:p>
    <w:p>
      <w:pPr>
        <w:pStyle w:val="BodyText"/>
        <w:spacing w:before="0" w:after="176"/>
        <w:ind w:hanging="539" w:left="539" w:right="0"/>
        <w:contextualSpacing/>
        <w:rPr>
          <w:rFonts w:eastAsia="Arial"/>
          <w:b/>
        </w:rPr>
      </w:pPr>
      <w:r>
        <w:rPr>
          <w:rFonts w:eastAsia="Arial"/>
          <w:b/>
        </w:rPr>
      </w:r>
    </w:p>
    <w:p>
      <w:pPr>
        <w:pStyle w:val="BodyText"/>
        <w:widowControl w:val="false"/>
        <w:tabs>
          <w:tab w:val="clear" w:pos="709"/>
          <w:tab w:val="left" w:pos="2270" w:leader="none"/>
        </w:tabs>
        <w:suppressAutoHyphens w:val="false"/>
        <w:bidi w:val="0"/>
        <w:spacing w:before="0" w:after="176"/>
        <w:ind w:hanging="2268" w:left="2268" w:right="0"/>
        <w:contextualSpacing/>
        <w:rPr/>
      </w:pPr>
      <w:r>
        <w:rPr>
          <w:b/>
          <w:bCs/>
        </w:rPr>
        <w:t>Wettspielleitung:</w:t>
        <w:tab/>
        <w:tab/>
      </w:r>
      <w:r>
        <w:rPr>
          <w:rFonts w:eastAsia="Arial"/>
        </w:rPr>
        <w:t xml:space="preserve">Platzrichter sowie Platzregeln und Abschlagszeiten werden im Aushang des Clubs am Turniertag bekannt gegeben. Die Entscheidungen der Wettspielleitung sind endgültig. Änderungen der Ausschreibung behält sich die Wettspielleitung bis zum </w:t>
      </w:r>
    </w:p>
    <w:p>
      <w:pPr>
        <w:pStyle w:val="BodyText"/>
        <w:tabs>
          <w:tab w:val="clear" w:pos="709"/>
          <w:tab w:val="left" w:pos="2187" w:leader="none"/>
        </w:tabs>
        <w:spacing w:before="0" w:after="176"/>
        <w:ind w:hanging="0" w:left="2280" w:right="0"/>
        <w:contextualSpacing/>
        <w:rPr>
          <w:rFonts w:eastAsia="Arial"/>
        </w:rPr>
      </w:pPr>
      <w:r>
        <w:rPr>
          <w:rFonts w:eastAsia="Arial"/>
        </w:rPr>
        <w:t>1.Start vor. Das Wettspiel ist mit der Siegerehrung beendet.</w:t>
      </w:r>
    </w:p>
    <w:sectPr>
      <w:type w:val="nextPage"/>
      <w:pgSz w:w="11906" w:h="16838"/>
      <w:pgMar w:left="1134" w:right="1134" w:gutter="0" w:header="0" w:top="1134" w:footer="0" w:bottom="68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A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de-DE" w:eastAsia="zh-CN" w:bidi="ar-SA"/>
    </w:rPr>
  </w:style>
  <w:style w:type="paragraph" w:styleId="Heading1">
    <w:name w:val="Heading 1"/>
    <w:basedOn w:val="Berschrift"/>
    <w:next w:val="BodyText"/>
    <w:qFormat/>
    <w:pPr>
      <w:numPr>
        <w:ilvl w:val="0"/>
        <w:numId w:val="1"/>
      </w:numPr>
      <w:outlineLvl w:val="0"/>
    </w:pPr>
    <w:rPr/>
  </w:style>
  <w:style w:type="paragraph" w:styleId="Heading2">
    <w:name w:val="Heading 2"/>
    <w:basedOn w:val="Berschrift"/>
    <w:next w:val="BodyText"/>
    <w:qFormat/>
    <w:pPr>
      <w:numPr>
        <w:ilvl w:val="1"/>
        <w:numId w:val="1"/>
      </w:numPr>
      <w:outlineLvl w:val="1"/>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Absatzstandardschriftart">
    <w:name w:val="WW-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DefaultParagraphFont">
    <w:name w:val="Default Paragraph Font"/>
    <w:qFormat/>
    <w:rPr/>
  </w:style>
  <w:style w:type="character" w:styleId="Hyperlink">
    <w:name w:val="Hyperlink"/>
    <w:rPr/>
  </w:style>
  <w:style w:type="character" w:styleId="Aufzhlungszeichen1">
    <w:name w:val="Aufzählungszeichen1"/>
    <w:qFormat/>
    <w:rPr/>
  </w:style>
  <w:style w:type="paragraph" w:styleId="Berschrift">
    <w:name w:val="Überschrift"/>
    <w:basedOn w:val="Normal"/>
    <w:next w:val="BodyText"/>
    <w:qFormat/>
    <w:pPr>
      <w:keepNext w:val="true"/>
      <w:spacing w:before="240" w:after="120"/>
    </w:pPr>
    <w:rPr/>
  </w:style>
  <w:style w:type="paragraph" w:styleId="BodyText">
    <w:name w:val="Body Text"/>
    <w:basedOn w:val="Normal"/>
    <w:pPr>
      <w:suppressAutoHyphens w:val="false"/>
      <w:spacing w:before="0" w:after="176"/>
      <w:ind w:hanging="510" w:left="510" w:right="0"/>
    </w:pPr>
    <w:rPr>
      <w:rFonts w:ascii="Arial" w:hAnsi="Arial" w:cs="Arial"/>
    </w:rPr>
  </w:style>
  <w:style w:type="paragraph" w:styleId="List">
    <w:name w:val="List"/>
    <w:basedOn w:val="BodyText"/>
    <w:pPr/>
    <w:rPr>
      <w:rFonts w:cs="Mangal"/>
    </w:rPr>
  </w:style>
  <w:style w:type="paragraph" w:styleId="Caption">
    <w:name w:val="Caption"/>
    <w:basedOn w:val="Normal"/>
    <w:qFormat/>
    <w:pPr>
      <w:suppressLineNumbers/>
      <w:spacing w:before="120" w:after="120"/>
    </w:pPr>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i/>
      <w:iCs/>
    </w:rPr>
  </w:style>
  <w:style w:type="paragraph" w:styleId="Listeninhalt">
    <w:name w:val="Listeninhalt"/>
    <w:basedOn w:val="Normal"/>
    <w:qFormat/>
    <w:pPr>
      <w:ind w:hanging="0" w:left="567" w:right="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sl-noe.at/gsl_startzeit.php" TargetMode="External"/><Relationship Id="rId4" Type="http://schemas.openxmlformats.org/officeDocument/2006/relationships/hyperlink" Target="http://www.gsl-noe.a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LibreOffice/24.2.1.2$Windows_X86_64 LibreOffice_project/db4def46b0453cc22e2d0305797cf981b68ef5ac</Application>
  <AppVersion>15.0000</AppVersion>
  <Pages>1</Pages>
  <Words>360</Words>
  <Characters>2404</Characters>
  <CharactersWithSpaces>2851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2018-03-21T11:46:00Z</dcterms:created>
  <dc:creator>Winfried K. Lamberger</dc:creator>
  <dc:description>Version 2014</dc:description>
  <dc:language>de-AT</dc:language>
  <cp:lastModifiedBy/>
  <cp:lastPrinted>1995-11-21T17:41:00Z</cp:lastPrinted>
  <dcterms:modified xsi:type="dcterms:W3CDTF">2024-04-01T07:30:51Z</dcterms:modified>
  <cp:revision>24</cp:revision>
  <dc:subject/>
  <dc:title>Turnierausschreibung GSL-NOE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